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Bill format</w:t>
      </w:r>
    </w:p>
    <w:p>
      <w:r>
        <w:rPr>
          <w:sz w:val="18"/>
        </w:rPr>
        <w:t xml:space="preserve">Bill format for a business bill or invoice. A GST-registered supplier issuing a tax invoice must show the particulars Rule 46 of the CGST Rules requires; verify the current rules before use. Replace every prompt with the actual transaction details.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Seller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Seller GSTIN (if registered)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Bill or invoice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Bill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Customer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Customer GSTIN (if registered)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Place of supply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Payment terms and due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S. no.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Description of goods or services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HSN or SAC code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Quantity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Unit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Taxable value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 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 amount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Amount</w:t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Subtotal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Tax total (CGST, SGST or UTGST, IGST as applicable)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Adjustments or discount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Total amount (in figures and words)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Authorised signature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sectPr>
      <w:pgSz w:w="16838" w:h="11906" w:orient="landscape"/>
      <w:pgMar w:top="720" w:right="720" w:bottom="720" w:left="720" w:header="0" w:footer="0" w:gutter="0"/>
    </w:sectPr>
  </w:body>
</w:document>
</file>