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Delivery challan</w:t>
      </w:r>
    </w:p>
    <w:p>
      <w:r>
        <w:rPr>
          <w:sz w:val="18"/>
        </w:rPr>
        <w:t xml:space="preserve">Delivery challan under Rule 55 of the CGST Rules. Use for qualifying movement of goods without a tax invoice (for example job work or movement for reasons other than supply). Not a tax invoice, receipt or traffic challan. Verify current rules before use.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Challan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Challan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Reason for movement (Rule 55)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Consignor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Consignor GSTIN (if registered)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Consignee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Consignee GSTIN or UIN (if registered)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Place of supply (inter-state movement)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Transporter and vehicle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E-way bill number (if required)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S. no.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Description of goods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HSN code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Quantity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Taxable value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CGST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SGST or UTGST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IGST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Cess</w:t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Total taxable value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Total tax (where movement is for supply)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Copy: Original for consignee / Duplicate for transporter / Triplicate for consignor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Signature of consignor or authorised representative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6838" w:h="11906" w:orient="landscape"/>
      <w:pgMar w:top="720" w:right="720" w:bottom="720" w:left="720" w:header="0" w:footer="0" w:gutter="0"/>
    </w:sectPr>
  </w:body>
</w:document>
</file>